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C9C9" w14:textId="763858E2" w:rsidR="0008602E" w:rsidRPr="0008602E" w:rsidRDefault="0008602E" w:rsidP="0008602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08602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1D8C031" wp14:editId="5C21C30E">
            <wp:simplePos x="0" y="0"/>
            <wp:positionH relativeFrom="margin">
              <wp:align>left</wp:align>
            </wp:positionH>
            <wp:positionV relativeFrom="paragraph">
              <wp:posOffset>-514853</wp:posOffset>
            </wp:positionV>
            <wp:extent cx="2734574" cy="448641"/>
            <wp:effectExtent l="0" t="0" r="0" b="8890"/>
            <wp:wrapNone/>
            <wp:docPr id="1857134613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34613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574" cy="44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4B49C" w14:textId="6783F2C5" w:rsidR="0008602E" w:rsidRPr="0008602E" w:rsidRDefault="0030288A" w:rsidP="0008602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E3052"/>
          <w:sz w:val="32"/>
          <w:szCs w:val="32"/>
        </w:rPr>
      </w:pPr>
      <w:r w:rsidRPr="0008602E">
        <w:rPr>
          <w:rFonts w:ascii="Arial" w:eastAsia="Times New Roman" w:hAnsi="Arial" w:cs="Arial"/>
          <w:b/>
          <w:bCs/>
          <w:color w:val="0E3052"/>
          <w:sz w:val="32"/>
          <w:szCs w:val="32"/>
        </w:rPr>
        <w:t> </w:t>
      </w:r>
      <w:r w:rsidR="0008602E" w:rsidRPr="0008602E">
        <w:rPr>
          <w:rFonts w:ascii="Arial" w:eastAsia="Times New Roman" w:hAnsi="Arial" w:cs="Arial"/>
          <w:b/>
          <w:bCs/>
          <w:color w:val="0E3052"/>
          <w:sz w:val="32"/>
          <w:szCs w:val="32"/>
        </w:rPr>
        <w:t>C</w:t>
      </w:r>
      <w:r w:rsidR="0008602E" w:rsidRPr="0008602E">
        <w:rPr>
          <w:rFonts w:ascii="Arial" w:eastAsia="Times New Roman" w:hAnsi="Arial" w:cs="Arial"/>
          <w:b/>
          <w:bCs/>
          <w:color w:val="0E3052"/>
          <w:sz w:val="32"/>
          <w:szCs w:val="32"/>
        </w:rPr>
        <w:t>ompleting Access to Broadband (CAB) Program</w:t>
      </w:r>
    </w:p>
    <w:p w14:paraId="0CF18E54" w14:textId="77777777" w:rsidR="0008602E" w:rsidRPr="0008602E" w:rsidRDefault="0008602E" w:rsidP="0008602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F6DAA"/>
          <w:sz w:val="24"/>
          <w:szCs w:val="24"/>
        </w:rPr>
      </w:pPr>
      <w:r w:rsidRPr="0008602E">
        <w:rPr>
          <w:rFonts w:ascii="Arial" w:eastAsia="Times New Roman" w:hAnsi="Arial" w:cs="Arial"/>
          <w:b/>
          <w:bCs/>
          <w:color w:val="3F6DAA"/>
          <w:sz w:val="24"/>
          <w:szCs w:val="24"/>
        </w:rPr>
        <w:t>Reporting Schedule for Progress Reports</w:t>
      </w:r>
    </w:p>
    <w:p w14:paraId="24C2D1AE" w14:textId="77777777" w:rsidR="0008602E" w:rsidRPr="0008602E" w:rsidRDefault="0008602E" w:rsidP="00866801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6532238" w14:textId="07642CD4" w:rsidR="0030288A" w:rsidRPr="0008602E" w:rsidRDefault="00656B69" w:rsidP="00866801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08602E">
        <w:rPr>
          <w:rFonts w:ascii="Arial" w:eastAsia="Times New Roman" w:hAnsi="Arial" w:cs="Arial"/>
        </w:rPr>
        <w:t xml:space="preserve">The </w:t>
      </w:r>
      <w:r w:rsidR="0008602E">
        <w:rPr>
          <w:rFonts w:ascii="Arial" w:eastAsia="Times New Roman" w:hAnsi="Arial" w:cs="Arial"/>
        </w:rPr>
        <w:t>c</w:t>
      </w:r>
      <w:r w:rsidR="00744E39" w:rsidRPr="0008602E">
        <w:rPr>
          <w:rFonts w:ascii="Arial" w:eastAsia="Times New Roman" w:hAnsi="Arial" w:cs="Arial"/>
        </w:rPr>
        <w:t>ontractor</w:t>
      </w:r>
      <w:r w:rsidR="0030288A" w:rsidRPr="0008602E">
        <w:rPr>
          <w:rFonts w:ascii="Arial" w:eastAsia="Times New Roman" w:hAnsi="Arial" w:cs="Arial"/>
        </w:rPr>
        <w:t xml:space="preserve"> is required to submit progress reports based on the following schedule: </w:t>
      </w:r>
    </w:p>
    <w:p w14:paraId="3760FF59" w14:textId="53E73AD6" w:rsidR="00866801" w:rsidRPr="0008602E" w:rsidRDefault="0030288A" w:rsidP="0030288A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8602E">
        <w:rPr>
          <w:rFonts w:ascii="Arial" w:eastAsia="Times New Roman" w:hAnsi="Arial" w:cs="Arial"/>
        </w:rPr>
        <w:t>  </w:t>
      </w:r>
    </w:p>
    <w:tbl>
      <w:tblPr>
        <w:tblW w:w="9265" w:type="dxa"/>
        <w:jc w:val="center"/>
        <w:tblLook w:val="04A0" w:firstRow="1" w:lastRow="0" w:firstColumn="1" w:lastColumn="0" w:noHBand="0" w:noVBand="1"/>
      </w:tblPr>
      <w:tblGrid>
        <w:gridCol w:w="3145"/>
        <w:gridCol w:w="1710"/>
        <w:gridCol w:w="4410"/>
      </w:tblGrid>
      <w:tr w:rsidR="00866801" w:rsidRPr="0008602E" w14:paraId="0A4B1966" w14:textId="77777777" w:rsidTr="008B51E5">
        <w:trPr>
          <w:trHeight w:val="467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F6DAA"/>
            <w:noWrap/>
            <w:vAlign w:val="center"/>
            <w:hideMark/>
          </w:tcPr>
          <w:p w14:paraId="1F30C696" w14:textId="77777777" w:rsidR="00866801" w:rsidRPr="008B51E5" w:rsidRDefault="00866801" w:rsidP="008B51E5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51E5">
              <w:rPr>
                <w:rFonts w:ascii="Arial" w:hAnsi="Arial" w:cs="Arial"/>
                <w:b/>
                <w:bCs/>
                <w:color w:val="FFFFFF" w:themeColor="background1"/>
              </w:rPr>
              <w:t>Reporting Period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F6DAA"/>
            <w:noWrap/>
            <w:vAlign w:val="center"/>
            <w:hideMark/>
          </w:tcPr>
          <w:p w14:paraId="2D3F2662" w14:textId="77777777" w:rsidR="00866801" w:rsidRPr="008B51E5" w:rsidRDefault="00866801" w:rsidP="008B51E5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51E5">
              <w:rPr>
                <w:rFonts w:ascii="Arial" w:hAnsi="Arial" w:cs="Arial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F6DAA"/>
            <w:noWrap/>
            <w:vAlign w:val="center"/>
            <w:hideMark/>
          </w:tcPr>
          <w:p w14:paraId="6AB058C9" w14:textId="77777777" w:rsidR="00866801" w:rsidRPr="008B51E5" w:rsidRDefault="00866801" w:rsidP="008B51E5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51E5">
              <w:rPr>
                <w:rFonts w:ascii="Arial" w:hAnsi="Arial" w:cs="Arial"/>
                <w:b/>
                <w:bCs/>
                <w:color w:val="FFFFFF" w:themeColor="background1"/>
              </w:rPr>
              <w:t>Report Type</w:t>
            </w:r>
          </w:p>
        </w:tc>
      </w:tr>
      <w:tr w:rsidR="001349D0" w:rsidRPr="0008602E" w14:paraId="1000053A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B8D7" w14:textId="08D935B9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July 1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 xml:space="preserve"> – </w:t>
            </w:r>
            <w:r w:rsidRPr="0008602E">
              <w:rPr>
                <w:rFonts w:ascii="Arial" w:hAnsi="Arial" w:cs="Arial"/>
                <w:color w:val="000000" w:themeColor="text1"/>
              </w:rPr>
              <w:t>Sept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30, 2024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01B3" w14:textId="01078A84" w:rsidR="001349D0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Oct. 15,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F197" w14:textId="00B86D4C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Q1 Progress Report</w:t>
            </w:r>
          </w:p>
        </w:tc>
      </w:tr>
      <w:tr w:rsidR="001349D0" w:rsidRPr="0008602E" w14:paraId="57F771EA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2D9A" w14:textId="63DFF98E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Oct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 xml:space="preserve"> – </w:t>
            </w:r>
            <w:r w:rsidRPr="0008602E">
              <w:rPr>
                <w:rFonts w:ascii="Arial" w:hAnsi="Arial" w:cs="Arial"/>
                <w:color w:val="000000" w:themeColor="text1"/>
              </w:rPr>
              <w:t>Dec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31, 2024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5B3D" w14:textId="21428A9B" w:rsidR="001349D0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Jan. 15,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1B62" w14:textId="14EB11DD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Q2 Progress Report</w:t>
            </w:r>
          </w:p>
        </w:tc>
      </w:tr>
      <w:tr w:rsidR="001349D0" w:rsidRPr="0008602E" w14:paraId="2563539D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0CD4" w14:textId="269D1299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Jan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 xml:space="preserve"> - </w:t>
            </w:r>
            <w:r w:rsidRPr="0008602E">
              <w:rPr>
                <w:rFonts w:ascii="Arial" w:hAnsi="Arial" w:cs="Arial"/>
                <w:color w:val="000000" w:themeColor="text1"/>
              </w:rPr>
              <w:t>March 31, 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ED4B" w14:textId="6A4D03DA" w:rsidR="001349D0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April 15,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2CA3" w14:textId="700C03D6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Q3 Progress Report</w:t>
            </w:r>
          </w:p>
        </w:tc>
      </w:tr>
      <w:tr w:rsidR="001349D0" w:rsidRPr="0008602E" w14:paraId="07F85B7F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852D" w14:textId="796AD72B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April 1</w:t>
            </w:r>
            <w:r w:rsidR="0008602E" w:rsidRPr="0008602E">
              <w:rPr>
                <w:rFonts w:ascii="Arial" w:hAnsi="Arial" w:cs="Arial"/>
                <w:color w:val="000000" w:themeColor="text1"/>
              </w:rPr>
              <w:t xml:space="preserve"> -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June 30, 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F2B3" w14:textId="01FF9B7C" w:rsidR="001349D0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July </w:t>
            </w:r>
            <w:r>
              <w:rPr>
                <w:rFonts w:ascii="Arial" w:hAnsi="Arial" w:cs="Arial"/>
                <w:color w:val="000000" w:themeColor="text1"/>
              </w:rPr>
              <w:t>15, 2025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7D5" w14:textId="3CA2415B" w:rsidR="001349D0" w:rsidRPr="0008602E" w:rsidRDefault="001349D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Q4 Progress Report</w:t>
            </w:r>
          </w:p>
        </w:tc>
      </w:tr>
      <w:tr w:rsidR="007C1891" w:rsidRPr="0008602E" w14:paraId="53897EBB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C6F1" w14:textId="68DFFB16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/>
              </w:rPr>
              <w:t>July 1</w:t>
            </w:r>
            <w:r w:rsidR="0008602E">
              <w:rPr>
                <w:rFonts w:ascii="Arial" w:hAnsi="Arial" w:cs="Arial"/>
                <w:color w:val="000000"/>
              </w:rPr>
              <w:t xml:space="preserve"> – </w:t>
            </w:r>
            <w:r w:rsidRPr="0008602E">
              <w:rPr>
                <w:rFonts w:ascii="Arial" w:hAnsi="Arial" w:cs="Arial"/>
                <w:color w:val="000000"/>
              </w:rPr>
              <w:t>Sept</w:t>
            </w:r>
            <w:r w:rsidR="0008602E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30, 2025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E10C" w14:textId="4322E1E6" w:rsidR="007C1891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Oct. </w:t>
            </w:r>
            <w:r>
              <w:rPr>
                <w:rFonts w:ascii="Arial" w:hAnsi="Arial" w:cs="Arial"/>
                <w:color w:val="000000" w:themeColor="text1"/>
              </w:rPr>
              <w:t>15, 2025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681" w14:textId="458D0A41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Q5 Progress Report</w:t>
            </w:r>
          </w:p>
        </w:tc>
      </w:tr>
      <w:tr w:rsidR="007C1891" w:rsidRPr="0008602E" w14:paraId="26E9260E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AACB" w14:textId="7818929F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/>
              </w:rPr>
              <w:t>Oct</w:t>
            </w:r>
            <w:r w:rsidR="0008602E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1</w:t>
            </w:r>
            <w:r w:rsidR="0008602E">
              <w:rPr>
                <w:rFonts w:ascii="Arial" w:hAnsi="Arial" w:cs="Arial"/>
                <w:color w:val="000000"/>
              </w:rPr>
              <w:t xml:space="preserve"> –</w:t>
            </w:r>
            <w:r w:rsidRPr="0008602E">
              <w:rPr>
                <w:rFonts w:ascii="Arial" w:hAnsi="Arial" w:cs="Arial"/>
                <w:color w:val="000000"/>
              </w:rPr>
              <w:t xml:space="preserve"> Dec</w:t>
            </w:r>
            <w:r w:rsidR="0008602E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31, 2025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05F0" w14:textId="2EB1BFE5" w:rsidR="007C1891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Jan. </w:t>
            </w:r>
            <w:r>
              <w:rPr>
                <w:rFonts w:ascii="Arial" w:hAnsi="Arial" w:cs="Arial"/>
                <w:color w:val="000000" w:themeColor="text1"/>
              </w:rPr>
              <w:t>15, 202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A02" w14:textId="7EBC4A3B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Q6 Progress Report</w:t>
            </w:r>
          </w:p>
        </w:tc>
      </w:tr>
      <w:tr w:rsidR="007C1891" w:rsidRPr="0008602E" w14:paraId="7A46A637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210F" w14:textId="0CB88A6E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Jan</w:t>
            </w:r>
            <w:r w:rsidR="0008602E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08602E">
              <w:rPr>
                <w:rFonts w:ascii="Arial" w:hAnsi="Arial" w:cs="Arial"/>
                <w:color w:val="000000" w:themeColor="text1"/>
              </w:rPr>
              <w:t>1</w:t>
            </w:r>
            <w:r w:rsidR="0008602E">
              <w:rPr>
                <w:rFonts w:ascii="Arial" w:hAnsi="Arial" w:cs="Arial"/>
                <w:color w:val="000000" w:themeColor="text1"/>
              </w:rPr>
              <w:t xml:space="preserve"> - </w:t>
            </w:r>
            <w:r w:rsidRPr="0008602E">
              <w:rPr>
                <w:rFonts w:ascii="Arial" w:hAnsi="Arial" w:cs="Arial"/>
                <w:color w:val="000000" w:themeColor="text1"/>
              </w:rPr>
              <w:t>March 31, 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F54" w14:textId="3262DE09" w:rsidR="007C1891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April</w:t>
            </w:r>
            <w:r>
              <w:rPr>
                <w:rFonts w:ascii="Arial" w:hAnsi="Arial" w:cs="Arial"/>
                <w:color w:val="000000" w:themeColor="text1"/>
              </w:rPr>
              <w:t xml:space="preserve"> 15, 2026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29CF" w14:textId="0B1BA3D7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Q7 Progress Report</w:t>
            </w:r>
          </w:p>
        </w:tc>
      </w:tr>
      <w:tr w:rsidR="007C1891" w:rsidRPr="0008602E" w14:paraId="439AE791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88BE" w14:textId="48F942D1" w:rsidR="007C1891" w:rsidRPr="0008602E" w:rsidRDefault="007C1891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April 1</w:t>
            </w:r>
            <w:r w:rsidR="0008602E">
              <w:rPr>
                <w:rFonts w:ascii="Arial" w:hAnsi="Arial" w:cs="Arial"/>
                <w:color w:val="000000" w:themeColor="text1"/>
              </w:rPr>
              <w:t xml:space="preserve"> -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June 30, 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BD7C" w14:textId="70A321B0" w:rsidR="007C1891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July</w:t>
            </w:r>
            <w:r>
              <w:rPr>
                <w:rFonts w:ascii="Arial" w:hAnsi="Arial" w:cs="Arial"/>
                <w:color w:val="000000" w:themeColor="text1"/>
              </w:rPr>
              <w:t xml:space="preserve"> 15, 2026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1D6F" w14:textId="2977846A" w:rsidR="007C1891" w:rsidRPr="0008602E" w:rsidRDefault="00EA417C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</w:rPr>
              <w:t>Q</w:t>
            </w:r>
            <w:r w:rsidR="001F09F4" w:rsidRPr="0008602E">
              <w:rPr>
                <w:rFonts w:ascii="Arial" w:hAnsi="Arial" w:cs="Arial"/>
              </w:rPr>
              <w:t>8</w:t>
            </w:r>
            <w:r w:rsidRPr="0008602E">
              <w:rPr>
                <w:rFonts w:ascii="Arial" w:hAnsi="Arial" w:cs="Arial"/>
              </w:rPr>
              <w:t xml:space="preserve"> </w:t>
            </w:r>
            <w:r w:rsidR="00BB19AC" w:rsidRPr="0008602E">
              <w:rPr>
                <w:rFonts w:ascii="Arial" w:hAnsi="Arial" w:cs="Arial"/>
              </w:rPr>
              <w:t>Progress Report</w:t>
            </w:r>
          </w:p>
        </w:tc>
      </w:tr>
      <w:tr w:rsidR="000437B7" w:rsidRPr="0008602E" w14:paraId="01406C64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DB9" w14:textId="6C05B122" w:rsidR="000437B7" w:rsidRPr="0008602E" w:rsidRDefault="000437B7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July 1</w:t>
            </w:r>
            <w:r w:rsidR="0008602E">
              <w:rPr>
                <w:rFonts w:ascii="Arial" w:hAnsi="Arial" w:cs="Arial"/>
                <w:color w:val="000000" w:themeColor="text1"/>
              </w:rPr>
              <w:t xml:space="preserve"> –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Sept</w:t>
            </w:r>
            <w:r w:rsid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30, 2026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A59D" w14:textId="7184312D" w:rsidR="000437B7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Oct.</w:t>
            </w:r>
            <w:r>
              <w:rPr>
                <w:rFonts w:ascii="Arial" w:hAnsi="Arial" w:cs="Arial"/>
                <w:color w:val="000000" w:themeColor="text1"/>
              </w:rPr>
              <w:t xml:space="preserve"> 15, 2026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C61" w14:textId="435FD551" w:rsidR="000437B7" w:rsidRPr="0008602E" w:rsidRDefault="00BB19AC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 w:rsidRPr="0008602E">
              <w:rPr>
                <w:rFonts w:ascii="Arial" w:hAnsi="Arial" w:cs="Arial"/>
              </w:rPr>
              <w:t>Q9 Progress Report</w:t>
            </w:r>
          </w:p>
        </w:tc>
      </w:tr>
      <w:tr w:rsidR="00BB19AC" w:rsidRPr="0008602E" w14:paraId="5BC5B96C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7E4D" w14:textId="4A488BA3" w:rsidR="00BB19AC" w:rsidRPr="0008602E" w:rsidRDefault="00BB19AC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Oct</w:t>
            </w:r>
            <w:r w:rsid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08602E">
              <w:rPr>
                <w:rFonts w:ascii="Arial" w:hAnsi="Arial" w:cs="Arial"/>
                <w:color w:val="000000" w:themeColor="text1"/>
              </w:rPr>
              <w:t xml:space="preserve"> –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Oct</w:t>
            </w:r>
            <w:r w:rsidR="0008602E">
              <w:rPr>
                <w:rFonts w:ascii="Arial" w:hAnsi="Arial" w:cs="Arial"/>
                <w:color w:val="000000" w:themeColor="text1"/>
              </w:rPr>
              <w:t>.</w:t>
            </w:r>
            <w:r w:rsidRPr="0008602E">
              <w:rPr>
                <w:rFonts w:ascii="Arial" w:hAnsi="Arial" w:cs="Arial"/>
                <w:color w:val="000000" w:themeColor="text1"/>
              </w:rPr>
              <w:t xml:space="preserve"> 31, 2026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0E3D" w14:textId="01FC2FAD" w:rsidR="00BB19AC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Nov.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30</w:t>
            </w:r>
            <w:r>
              <w:rPr>
                <w:rFonts w:ascii="Arial" w:hAnsi="Arial" w:cs="Arial"/>
                <w:color w:val="000000" w:themeColor="text1"/>
              </w:rPr>
              <w:t>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1D4" w14:textId="224F4E41" w:rsidR="00BB19AC" w:rsidRPr="0008602E" w:rsidRDefault="00BB19AC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 w:rsidRPr="0008602E">
              <w:rPr>
                <w:rFonts w:ascii="Arial" w:hAnsi="Arial" w:cs="Arial"/>
              </w:rPr>
              <w:t xml:space="preserve">Final Report Form for </w:t>
            </w:r>
            <w:r w:rsidR="008B51E5">
              <w:rPr>
                <w:rFonts w:ascii="Arial" w:hAnsi="Arial" w:cs="Arial"/>
              </w:rPr>
              <w:br/>
            </w:r>
            <w:r w:rsidRPr="0008602E">
              <w:rPr>
                <w:rFonts w:ascii="Arial" w:hAnsi="Arial" w:cs="Arial"/>
              </w:rPr>
              <w:t>End of Construction Period</w:t>
            </w:r>
          </w:p>
        </w:tc>
      </w:tr>
      <w:tr w:rsidR="00FF5C64" w:rsidRPr="0008602E" w14:paraId="3A0FBF3A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1D3C" w14:textId="32158C2E" w:rsidR="00FF5C64" w:rsidRPr="0008602E" w:rsidRDefault="00D0702C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/>
              </w:rPr>
              <w:t>Nov</w:t>
            </w:r>
            <w:r w:rsidR="008B51E5">
              <w:rPr>
                <w:rFonts w:ascii="Arial" w:hAnsi="Arial" w:cs="Arial"/>
                <w:color w:val="000000"/>
              </w:rPr>
              <w:t>.</w:t>
            </w:r>
            <w:r w:rsidR="00FF5C64" w:rsidRPr="0008602E">
              <w:rPr>
                <w:rFonts w:ascii="Arial" w:hAnsi="Arial" w:cs="Arial"/>
                <w:color w:val="000000"/>
              </w:rPr>
              <w:t xml:space="preserve"> 1</w:t>
            </w:r>
            <w:r w:rsidR="008B51E5">
              <w:rPr>
                <w:rFonts w:ascii="Arial" w:hAnsi="Arial" w:cs="Arial"/>
                <w:color w:val="000000"/>
              </w:rPr>
              <w:t xml:space="preserve"> –</w:t>
            </w:r>
            <w:r w:rsidR="00FF5C64" w:rsidRPr="0008602E">
              <w:rPr>
                <w:rFonts w:ascii="Arial" w:hAnsi="Arial" w:cs="Arial"/>
                <w:color w:val="000000"/>
              </w:rPr>
              <w:t xml:space="preserve"> </w:t>
            </w:r>
            <w:r w:rsidRPr="0008602E">
              <w:rPr>
                <w:rFonts w:ascii="Arial" w:hAnsi="Arial" w:cs="Arial"/>
                <w:color w:val="000000"/>
              </w:rPr>
              <w:t>Oct</w:t>
            </w:r>
            <w:r w:rsidR="008B51E5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31</w:t>
            </w:r>
            <w:r w:rsidR="00FF5C64" w:rsidRPr="0008602E">
              <w:rPr>
                <w:rFonts w:ascii="Arial" w:hAnsi="Arial" w:cs="Arial"/>
                <w:color w:val="000000"/>
              </w:rPr>
              <w:t>, 2027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58D8" w14:textId="3C90B16C" w:rsidR="00FF5C64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Nov. 30, 202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2C55" w14:textId="04090B65" w:rsidR="00FF5C64" w:rsidRPr="0008602E" w:rsidRDefault="00FF5C64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 xml:space="preserve">Y1 Annual Progress Report </w:t>
            </w:r>
            <w:r w:rsidR="008B51E5">
              <w:rPr>
                <w:rFonts w:ascii="Arial" w:hAnsi="Arial" w:cs="Arial"/>
                <w:color w:val="000000" w:themeColor="text1"/>
              </w:rPr>
              <w:br/>
            </w:r>
            <w:r w:rsidRPr="0008602E">
              <w:rPr>
                <w:rFonts w:ascii="Arial" w:hAnsi="Arial" w:cs="Arial"/>
                <w:color w:val="000000" w:themeColor="text1"/>
              </w:rPr>
              <w:t>(Maintenance Period)</w:t>
            </w:r>
          </w:p>
        </w:tc>
      </w:tr>
      <w:tr w:rsidR="00FF5C64" w:rsidRPr="0008602E" w14:paraId="2ADB8F26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9D1C" w14:textId="53898ADC" w:rsidR="00FF5C64" w:rsidRPr="0008602E" w:rsidRDefault="00D0702C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/>
              </w:rPr>
              <w:t>Nov</w:t>
            </w:r>
            <w:r w:rsidR="008B51E5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1, 2027</w:t>
            </w:r>
            <w:r w:rsidR="00F04A9A" w:rsidRPr="0008602E">
              <w:rPr>
                <w:rFonts w:ascii="Arial" w:hAnsi="Arial" w:cs="Arial"/>
                <w:color w:val="000000"/>
              </w:rPr>
              <w:t xml:space="preserve"> </w:t>
            </w:r>
            <w:r w:rsidR="008B51E5">
              <w:rPr>
                <w:rFonts w:ascii="Arial" w:hAnsi="Arial" w:cs="Arial"/>
                <w:color w:val="000000"/>
              </w:rPr>
              <w:t>–</w:t>
            </w:r>
            <w:r w:rsidR="00F04A9A" w:rsidRPr="0008602E">
              <w:rPr>
                <w:rFonts w:ascii="Arial" w:hAnsi="Arial" w:cs="Arial"/>
                <w:color w:val="000000"/>
              </w:rPr>
              <w:t xml:space="preserve"> </w:t>
            </w:r>
            <w:r w:rsidRPr="0008602E">
              <w:rPr>
                <w:rFonts w:ascii="Arial" w:hAnsi="Arial" w:cs="Arial"/>
                <w:color w:val="000000"/>
              </w:rPr>
              <w:t>Oct</w:t>
            </w:r>
            <w:r w:rsidR="008B51E5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31</w:t>
            </w:r>
            <w:r w:rsidR="00F04A9A" w:rsidRPr="0008602E">
              <w:rPr>
                <w:rFonts w:ascii="Arial" w:hAnsi="Arial" w:cs="Arial"/>
                <w:color w:val="000000"/>
              </w:rPr>
              <w:t>, 2028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469E" w14:textId="286FF1BC" w:rsidR="00FF5C64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Nov. 30, 202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E727" w14:textId="6A06CF65" w:rsidR="00FF5C64" w:rsidRPr="0008602E" w:rsidRDefault="00FF5C64" w:rsidP="00CD386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 xml:space="preserve">Y2 Annual Progress Report </w:t>
            </w:r>
            <w:r w:rsidR="008B51E5">
              <w:rPr>
                <w:rFonts w:ascii="Arial" w:hAnsi="Arial" w:cs="Arial"/>
                <w:color w:val="000000" w:themeColor="text1"/>
              </w:rPr>
              <w:br/>
            </w:r>
            <w:r w:rsidRPr="0008602E">
              <w:rPr>
                <w:rFonts w:ascii="Arial" w:hAnsi="Arial" w:cs="Arial"/>
                <w:color w:val="000000" w:themeColor="text1"/>
              </w:rPr>
              <w:t>(Maintenance Period)</w:t>
            </w:r>
          </w:p>
        </w:tc>
      </w:tr>
      <w:tr w:rsidR="00FF5C64" w:rsidRPr="0008602E" w14:paraId="00CFA812" w14:textId="77777777" w:rsidTr="002B3045">
        <w:trPr>
          <w:trHeight w:val="504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5F53" w14:textId="484B9206" w:rsidR="00FF5C64" w:rsidRPr="0008602E" w:rsidRDefault="006E37B0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</w:rPr>
            </w:pPr>
            <w:r w:rsidRPr="0008602E">
              <w:rPr>
                <w:rFonts w:ascii="Arial" w:hAnsi="Arial" w:cs="Arial"/>
                <w:color w:val="000000"/>
              </w:rPr>
              <w:t>Nov</w:t>
            </w:r>
            <w:r w:rsidR="008B51E5">
              <w:rPr>
                <w:rFonts w:ascii="Arial" w:hAnsi="Arial" w:cs="Arial"/>
                <w:color w:val="000000"/>
              </w:rPr>
              <w:t>.</w:t>
            </w:r>
            <w:r w:rsidRPr="0008602E">
              <w:rPr>
                <w:rFonts w:ascii="Arial" w:hAnsi="Arial" w:cs="Arial"/>
                <w:color w:val="000000"/>
              </w:rPr>
              <w:t xml:space="preserve"> 1</w:t>
            </w:r>
            <w:r w:rsidR="00F04A9A" w:rsidRPr="0008602E">
              <w:rPr>
                <w:rFonts w:ascii="Arial" w:hAnsi="Arial" w:cs="Arial"/>
                <w:color w:val="000000"/>
              </w:rPr>
              <w:t xml:space="preserve">, 2028 </w:t>
            </w:r>
            <w:r w:rsidR="008B51E5">
              <w:rPr>
                <w:rFonts w:ascii="Arial" w:hAnsi="Arial" w:cs="Arial"/>
                <w:color w:val="000000"/>
              </w:rPr>
              <w:t>-</w:t>
            </w:r>
            <w:r w:rsidR="00F04A9A" w:rsidRPr="0008602E">
              <w:rPr>
                <w:rFonts w:ascii="Arial" w:hAnsi="Arial" w:cs="Arial"/>
                <w:color w:val="000000"/>
              </w:rPr>
              <w:t xml:space="preserve"> June 30, 2029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C7AD" w14:textId="2DB63B15" w:rsidR="00FF5C64" w:rsidRPr="0008602E" w:rsidRDefault="002B3045" w:rsidP="00CD3860">
            <w:pPr>
              <w:tabs>
                <w:tab w:val="left" w:pos="9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July 31, 2029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720" w14:textId="5779D10E" w:rsidR="007126D0" w:rsidRPr="0008602E" w:rsidRDefault="00FF5C64" w:rsidP="00CD386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8602E">
              <w:rPr>
                <w:rFonts w:ascii="Arial" w:hAnsi="Arial" w:cs="Arial"/>
                <w:color w:val="000000" w:themeColor="text1"/>
              </w:rPr>
              <w:t>Y3</w:t>
            </w:r>
            <w:r w:rsidR="007126D0" w:rsidRPr="0008602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1006C" w:rsidRPr="0008602E">
              <w:rPr>
                <w:rFonts w:ascii="Arial" w:hAnsi="Arial" w:cs="Arial"/>
                <w:color w:val="000000" w:themeColor="text1"/>
              </w:rPr>
              <w:t xml:space="preserve">Maintenance Progress Report </w:t>
            </w:r>
            <w:r w:rsidR="008B51E5">
              <w:rPr>
                <w:rFonts w:ascii="Arial" w:hAnsi="Arial" w:cs="Arial"/>
                <w:color w:val="000000" w:themeColor="text1"/>
              </w:rPr>
              <w:br/>
            </w:r>
            <w:r w:rsidR="00BE76F1" w:rsidRPr="0008602E">
              <w:rPr>
                <w:rFonts w:ascii="Arial" w:hAnsi="Arial" w:cs="Arial"/>
                <w:color w:val="000000" w:themeColor="text1"/>
              </w:rPr>
              <w:t>(</w:t>
            </w:r>
            <w:r w:rsidR="007126D0" w:rsidRPr="0008602E">
              <w:rPr>
                <w:rFonts w:ascii="Arial" w:hAnsi="Arial" w:cs="Arial"/>
                <w:color w:val="000000" w:themeColor="text1"/>
              </w:rPr>
              <w:t>Final Report</w:t>
            </w:r>
            <w:r w:rsidR="00BE76F1" w:rsidRPr="0008602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126D0" w:rsidRPr="0008602E">
              <w:rPr>
                <w:rFonts w:ascii="Arial" w:hAnsi="Arial" w:cs="Arial"/>
                <w:color w:val="000000" w:themeColor="text1"/>
              </w:rPr>
              <w:t>End of Contract Period)</w:t>
            </w:r>
          </w:p>
        </w:tc>
      </w:tr>
    </w:tbl>
    <w:p w14:paraId="6374CFA9" w14:textId="43809856" w:rsidR="0030288A" w:rsidRPr="0008602E" w:rsidRDefault="0030288A" w:rsidP="0030288A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68C0FD3B" w14:textId="7BA367FC" w:rsidR="0030288A" w:rsidRPr="0008602E" w:rsidRDefault="00656B69" w:rsidP="008B51E5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08602E">
        <w:rPr>
          <w:rFonts w:ascii="Arial" w:eastAsia="Times New Roman" w:hAnsi="Arial" w:cs="Arial"/>
        </w:rPr>
        <w:t xml:space="preserve">The </w:t>
      </w:r>
      <w:r w:rsidR="008B51E5">
        <w:rPr>
          <w:rFonts w:ascii="Arial" w:eastAsia="Times New Roman" w:hAnsi="Arial" w:cs="Arial"/>
        </w:rPr>
        <w:t>c</w:t>
      </w:r>
      <w:r w:rsidR="00744E39" w:rsidRPr="0008602E">
        <w:rPr>
          <w:rFonts w:ascii="Arial" w:eastAsia="Times New Roman" w:hAnsi="Arial" w:cs="Arial"/>
        </w:rPr>
        <w:t>ontractor</w:t>
      </w:r>
      <w:r w:rsidR="0030288A" w:rsidRPr="0008602E">
        <w:rPr>
          <w:rFonts w:ascii="Arial" w:eastAsia="Times New Roman" w:hAnsi="Arial" w:cs="Arial"/>
        </w:rPr>
        <w:t xml:space="preserve"> shall submit at minimum a quarterly report during the </w:t>
      </w:r>
      <w:r w:rsidR="008B51E5">
        <w:rPr>
          <w:rFonts w:ascii="Arial" w:eastAsia="Times New Roman" w:hAnsi="Arial" w:cs="Arial"/>
        </w:rPr>
        <w:t>c</w:t>
      </w:r>
      <w:r w:rsidR="0030288A" w:rsidRPr="0008602E">
        <w:rPr>
          <w:rFonts w:ascii="Arial" w:eastAsia="Times New Roman" w:hAnsi="Arial" w:cs="Arial"/>
        </w:rPr>
        <w:t xml:space="preserve">onstruction </w:t>
      </w:r>
      <w:r w:rsidR="008B51E5">
        <w:rPr>
          <w:rFonts w:ascii="Arial" w:eastAsia="Times New Roman" w:hAnsi="Arial" w:cs="Arial"/>
        </w:rPr>
        <w:t>p</w:t>
      </w:r>
      <w:r w:rsidR="0030288A" w:rsidRPr="0008602E">
        <w:rPr>
          <w:rFonts w:ascii="Arial" w:eastAsia="Times New Roman" w:hAnsi="Arial" w:cs="Arial"/>
        </w:rPr>
        <w:t xml:space="preserve">eriod, and at minimum an annual report during the </w:t>
      </w:r>
      <w:r w:rsidR="008B51E5">
        <w:rPr>
          <w:rFonts w:ascii="Arial" w:eastAsia="Times New Roman" w:hAnsi="Arial" w:cs="Arial"/>
        </w:rPr>
        <w:t>m</w:t>
      </w:r>
      <w:r w:rsidR="0030288A" w:rsidRPr="0008602E">
        <w:rPr>
          <w:rFonts w:ascii="Arial" w:eastAsia="Times New Roman" w:hAnsi="Arial" w:cs="Arial"/>
        </w:rPr>
        <w:t xml:space="preserve">aintenance </w:t>
      </w:r>
      <w:r w:rsidR="008B51E5">
        <w:rPr>
          <w:rFonts w:ascii="Arial" w:eastAsia="Times New Roman" w:hAnsi="Arial" w:cs="Arial"/>
        </w:rPr>
        <w:t>p</w:t>
      </w:r>
      <w:r w:rsidR="0030288A" w:rsidRPr="0008602E">
        <w:rPr>
          <w:rFonts w:ascii="Arial" w:eastAsia="Times New Roman" w:hAnsi="Arial" w:cs="Arial"/>
        </w:rPr>
        <w:t xml:space="preserve">eriod. The schedule above assumes a full two-year construction period. </w:t>
      </w:r>
      <w:r w:rsidR="008B51E5">
        <w:rPr>
          <w:rFonts w:ascii="Arial" w:eastAsia="Times New Roman" w:hAnsi="Arial" w:cs="Arial"/>
        </w:rPr>
        <w:t>The c</w:t>
      </w:r>
      <w:r w:rsidR="00744E39" w:rsidRPr="0008602E">
        <w:rPr>
          <w:rFonts w:ascii="Arial" w:eastAsia="Times New Roman" w:hAnsi="Arial" w:cs="Arial"/>
        </w:rPr>
        <w:t>ontractor</w:t>
      </w:r>
      <w:r w:rsidR="0030288A" w:rsidRPr="0008602E">
        <w:rPr>
          <w:rFonts w:ascii="Arial" w:eastAsia="Times New Roman" w:hAnsi="Arial" w:cs="Arial"/>
        </w:rPr>
        <w:t xml:space="preserve"> may move from a quarterly to an annual reporting period prior to the date above if the construction period of the project is completed early. The final report is due at the time of </w:t>
      </w:r>
      <w:r w:rsidR="008B51E5">
        <w:rPr>
          <w:rFonts w:ascii="Arial" w:eastAsia="Times New Roman" w:hAnsi="Arial" w:cs="Arial"/>
        </w:rPr>
        <w:t>p</w:t>
      </w:r>
      <w:r w:rsidR="0030288A" w:rsidRPr="0008602E">
        <w:rPr>
          <w:rFonts w:ascii="Arial" w:eastAsia="Times New Roman" w:hAnsi="Arial" w:cs="Arial"/>
        </w:rPr>
        <w:t xml:space="preserve">roject completion or no later than 30 days after the </w:t>
      </w:r>
      <w:r w:rsidR="00A431C9" w:rsidRPr="0008602E">
        <w:rPr>
          <w:rFonts w:ascii="Arial" w:eastAsia="Times New Roman" w:hAnsi="Arial" w:cs="Arial"/>
        </w:rPr>
        <w:t>contract</w:t>
      </w:r>
      <w:r w:rsidR="0030288A" w:rsidRPr="0008602E">
        <w:rPr>
          <w:rFonts w:ascii="Arial" w:eastAsia="Times New Roman" w:hAnsi="Arial" w:cs="Arial"/>
        </w:rPr>
        <w:t xml:space="preserve"> end</w:t>
      </w:r>
      <w:r w:rsidR="008B51E5">
        <w:rPr>
          <w:rFonts w:ascii="Arial" w:eastAsia="Times New Roman" w:hAnsi="Arial" w:cs="Arial"/>
        </w:rPr>
        <w:t xml:space="preserve"> </w:t>
      </w:r>
      <w:r w:rsidR="0030288A" w:rsidRPr="0008602E">
        <w:rPr>
          <w:rFonts w:ascii="Arial" w:eastAsia="Times New Roman" w:hAnsi="Arial" w:cs="Arial"/>
        </w:rPr>
        <w:t xml:space="preserve">date, whichever is sooner. The reporting schedule remains in effect for the duration of the </w:t>
      </w:r>
      <w:r w:rsidR="00FB55FA" w:rsidRPr="0008602E">
        <w:rPr>
          <w:rFonts w:ascii="Arial" w:eastAsia="Times New Roman" w:hAnsi="Arial" w:cs="Arial"/>
        </w:rPr>
        <w:t>contract</w:t>
      </w:r>
      <w:r w:rsidR="0030288A" w:rsidRPr="0008602E">
        <w:rPr>
          <w:rFonts w:ascii="Arial" w:eastAsia="Times New Roman" w:hAnsi="Arial" w:cs="Arial"/>
        </w:rPr>
        <w:t>. </w:t>
      </w:r>
    </w:p>
    <w:p w14:paraId="4EBFBA91" w14:textId="534D2CD9" w:rsidR="0030288A" w:rsidRPr="0008602E" w:rsidRDefault="0030288A" w:rsidP="008B51E5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FF0A2B6" w14:textId="6A7256E7" w:rsidR="0030288A" w:rsidRPr="0008602E" w:rsidRDefault="17D945A3" w:rsidP="008B51E5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08602E">
        <w:rPr>
          <w:rFonts w:ascii="Arial" w:eastAsia="Times New Roman" w:hAnsi="Arial" w:cs="Arial"/>
          <w:color w:val="000000" w:themeColor="text1"/>
        </w:rPr>
        <w:t xml:space="preserve">The </w:t>
      </w:r>
      <w:r w:rsidR="008B51E5">
        <w:rPr>
          <w:rFonts w:ascii="Arial" w:eastAsia="Times New Roman" w:hAnsi="Arial" w:cs="Arial"/>
          <w:color w:val="000000" w:themeColor="text1"/>
        </w:rPr>
        <w:t>c</w:t>
      </w:r>
      <w:r w:rsidR="00744E39" w:rsidRPr="0008602E">
        <w:rPr>
          <w:rFonts w:ascii="Arial" w:eastAsia="Times New Roman" w:hAnsi="Arial" w:cs="Arial"/>
          <w:color w:val="000000" w:themeColor="text1"/>
        </w:rPr>
        <w:t>ontractor</w:t>
      </w:r>
      <w:r w:rsidRPr="0008602E">
        <w:rPr>
          <w:rFonts w:ascii="Arial" w:eastAsia="Times New Roman" w:hAnsi="Arial" w:cs="Arial"/>
          <w:color w:val="000000" w:themeColor="text1"/>
        </w:rPr>
        <w:t xml:space="preserve"> shall submit its </w:t>
      </w:r>
      <w:r w:rsidR="008B51E5" w:rsidRPr="0008602E">
        <w:rPr>
          <w:rFonts w:ascii="Arial" w:eastAsia="Times New Roman" w:hAnsi="Arial" w:cs="Arial"/>
          <w:color w:val="000000" w:themeColor="text1"/>
        </w:rPr>
        <w:t>Conflict-of-Interest</w:t>
      </w:r>
      <w:r w:rsidRPr="0008602E">
        <w:rPr>
          <w:rFonts w:ascii="Arial" w:eastAsia="Times New Roman" w:hAnsi="Arial" w:cs="Arial"/>
          <w:color w:val="000000" w:themeColor="text1"/>
        </w:rPr>
        <w:t xml:space="preserve"> Policy to NCDIT prior to disbursement of the first payment.</w:t>
      </w:r>
      <w:r w:rsidRPr="0008602E">
        <w:rPr>
          <w:rFonts w:ascii="Arial" w:eastAsia="Times New Roman" w:hAnsi="Arial" w:cs="Arial"/>
        </w:rPr>
        <w:t xml:space="preserve"> </w:t>
      </w:r>
      <w:r w:rsidR="0030288A" w:rsidRPr="0008602E">
        <w:rPr>
          <w:rFonts w:ascii="Arial" w:eastAsia="Times New Roman" w:hAnsi="Arial" w:cs="Arial"/>
        </w:rPr>
        <w:t>At any time during these reporting cycles,</w:t>
      </w:r>
      <w:r w:rsidR="00656B69" w:rsidRPr="0008602E">
        <w:rPr>
          <w:rFonts w:ascii="Arial" w:eastAsia="Times New Roman" w:hAnsi="Arial" w:cs="Arial"/>
        </w:rPr>
        <w:t xml:space="preserve"> the</w:t>
      </w:r>
      <w:r w:rsidR="0030288A" w:rsidRPr="0008602E">
        <w:rPr>
          <w:rFonts w:ascii="Arial" w:eastAsia="Times New Roman" w:hAnsi="Arial" w:cs="Arial"/>
        </w:rPr>
        <w:t xml:space="preserve"> </w:t>
      </w:r>
      <w:r w:rsidR="008B51E5">
        <w:rPr>
          <w:rFonts w:ascii="Arial" w:eastAsia="Times New Roman" w:hAnsi="Arial" w:cs="Arial"/>
        </w:rPr>
        <w:t>c</w:t>
      </w:r>
      <w:r w:rsidR="00744E39" w:rsidRPr="0008602E">
        <w:rPr>
          <w:rFonts w:ascii="Arial" w:eastAsia="Times New Roman" w:hAnsi="Arial" w:cs="Arial"/>
        </w:rPr>
        <w:t>ontractor</w:t>
      </w:r>
      <w:r w:rsidR="0030288A" w:rsidRPr="0008602E">
        <w:rPr>
          <w:rFonts w:ascii="Arial" w:eastAsia="Times New Roman" w:hAnsi="Arial" w:cs="Arial"/>
        </w:rPr>
        <w:t xml:space="preserve"> may be required to submit additional information as outlined in </w:t>
      </w:r>
      <w:r w:rsidR="00A96C8D" w:rsidRPr="0008602E">
        <w:rPr>
          <w:rFonts w:ascii="Arial" w:eastAsia="Times New Roman" w:hAnsi="Arial" w:cs="Arial"/>
        </w:rPr>
        <w:t xml:space="preserve">Attachment A: Special Terms and Conditions </w:t>
      </w:r>
      <w:r w:rsidR="00ED160B" w:rsidRPr="0008602E">
        <w:rPr>
          <w:rFonts w:ascii="Arial" w:eastAsia="Times New Roman" w:hAnsi="Arial" w:cs="Arial"/>
        </w:rPr>
        <w:t>of th</w:t>
      </w:r>
      <w:r w:rsidR="00A96C8D" w:rsidRPr="0008602E">
        <w:rPr>
          <w:rFonts w:ascii="Arial" w:eastAsia="Times New Roman" w:hAnsi="Arial" w:cs="Arial"/>
        </w:rPr>
        <w:t>e Scope of Work</w:t>
      </w:r>
      <w:r w:rsidR="0030288A" w:rsidRPr="0008602E">
        <w:rPr>
          <w:rFonts w:ascii="Arial" w:eastAsia="Times New Roman" w:hAnsi="Arial" w:cs="Arial"/>
        </w:rPr>
        <w:t>.</w:t>
      </w:r>
      <w:r w:rsidR="006B4008" w:rsidRPr="0008602E">
        <w:rPr>
          <w:rFonts w:ascii="Arial" w:hAnsi="Arial" w:cs="Arial"/>
        </w:rPr>
        <w:t xml:space="preserve"> The final quarterly progress report documentation is due at the time of the end of the </w:t>
      </w:r>
      <w:r w:rsidR="008B51E5">
        <w:rPr>
          <w:rFonts w:ascii="Arial" w:hAnsi="Arial" w:cs="Arial"/>
        </w:rPr>
        <w:t>c</w:t>
      </w:r>
      <w:r w:rsidR="006B4008" w:rsidRPr="0008602E">
        <w:rPr>
          <w:rFonts w:ascii="Arial" w:hAnsi="Arial" w:cs="Arial"/>
        </w:rPr>
        <w:t xml:space="preserve">onstruction </w:t>
      </w:r>
      <w:r w:rsidR="008B51E5">
        <w:rPr>
          <w:rFonts w:ascii="Arial" w:hAnsi="Arial" w:cs="Arial"/>
        </w:rPr>
        <w:t>p</w:t>
      </w:r>
      <w:r w:rsidR="006B4008" w:rsidRPr="0008602E">
        <w:rPr>
          <w:rFonts w:ascii="Arial" w:hAnsi="Arial" w:cs="Arial"/>
        </w:rPr>
        <w:t xml:space="preserve">eriod or no later than 30 days after the </w:t>
      </w:r>
      <w:r w:rsidR="008B51E5">
        <w:rPr>
          <w:rFonts w:ascii="Arial" w:hAnsi="Arial" w:cs="Arial"/>
        </w:rPr>
        <w:t>c</w:t>
      </w:r>
      <w:r w:rsidR="006B4008" w:rsidRPr="0008602E">
        <w:rPr>
          <w:rFonts w:ascii="Arial" w:hAnsi="Arial" w:cs="Arial"/>
        </w:rPr>
        <w:t xml:space="preserve">onstruction </w:t>
      </w:r>
      <w:r w:rsidR="008B51E5">
        <w:rPr>
          <w:rFonts w:ascii="Arial" w:hAnsi="Arial" w:cs="Arial"/>
        </w:rPr>
        <w:t>p</w:t>
      </w:r>
      <w:r w:rsidR="006B4008" w:rsidRPr="0008602E">
        <w:rPr>
          <w:rFonts w:ascii="Arial" w:hAnsi="Arial" w:cs="Arial"/>
        </w:rPr>
        <w:t>eriod end</w:t>
      </w:r>
      <w:r w:rsidR="008B51E5">
        <w:rPr>
          <w:rFonts w:ascii="Arial" w:hAnsi="Arial" w:cs="Arial"/>
        </w:rPr>
        <w:t xml:space="preserve"> </w:t>
      </w:r>
      <w:r w:rsidR="006B4008" w:rsidRPr="0008602E">
        <w:rPr>
          <w:rFonts w:ascii="Arial" w:hAnsi="Arial" w:cs="Arial"/>
        </w:rPr>
        <w:t xml:space="preserve">date, whichever is sooner. The reporting schedule remains in effect for the duration of the </w:t>
      </w:r>
      <w:r w:rsidR="00A431C9" w:rsidRPr="0008602E">
        <w:rPr>
          <w:rFonts w:ascii="Arial" w:hAnsi="Arial" w:cs="Arial"/>
        </w:rPr>
        <w:t>contract</w:t>
      </w:r>
      <w:r w:rsidR="006B4008" w:rsidRPr="0008602E">
        <w:rPr>
          <w:rFonts w:ascii="Arial" w:hAnsi="Arial" w:cs="Arial"/>
        </w:rPr>
        <w:t>.</w:t>
      </w:r>
    </w:p>
    <w:sectPr w:rsidR="0030288A" w:rsidRPr="0008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87E7" w14:textId="77777777" w:rsidR="00985D8F" w:rsidRDefault="00985D8F" w:rsidP="00866801">
      <w:pPr>
        <w:spacing w:after="0" w:line="240" w:lineRule="auto"/>
      </w:pPr>
      <w:r>
        <w:separator/>
      </w:r>
    </w:p>
  </w:endnote>
  <w:endnote w:type="continuationSeparator" w:id="0">
    <w:p w14:paraId="4EFFA1C5" w14:textId="77777777" w:rsidR="00985D8F" w:rsidRDefault="00985D8F" w:rsidP="00866801">
      <w:pPr>
        <w:spacing w:after="0" w:line="240" w:lineRule="auto"/>
      </w:pPr>
      <w:r>
        <w:continuationSeparator/>
      </w:r>
    </w:p>
  </w:endnote>
  <w:endnote w:type="continuationNotice" w:id="1">
    <w:p w14:paraId="232793B7" w14:textId="77777777" w:rsidR="00985D8F" w:rsidRDefault="00985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C547" w14:textId="77777777" w:rsidR="00985D8F" w:rsidRDefault="00985D8F" w:rsidP="00866801">
      <w:pPr>
        <w:spacing w:after="0" w:line="240" w:lineRule="auto"/>
      </w:pPr>
      <w:r>
        <w:separator/>
      </w:r>
    </w:p>
  </w:footnote>
  <w:footnote w:type="continuationSeparator" w:id="0">
    <w:p w14:paraId="0E0CEB5A" w14:textId="77777777" w:rsidR="00985D8F" w:rsidRDefault="00985D8F" w:rsidP="00866801">
      <w:pPr>
        <w:spacing w:after="0" w:line="240" w:lineRule="auto"/>
      </w:pPr>
      <w:r>
        <w:continuationSeparator/>
      </w:r>
    </w:p>
  </w:footnote>
  <w:footnote w:type="continuationNotice" w:id="1">
    <w:p w14:paraId="3F2647F7" w14:textId="77777777" w:rsidR="00985D8F" w:rsidRDefault="00985D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4E3"/>
    <w:multiLevelType w:val="multilevel"/>
    <w:tmpl w:val="835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51169"/>
    <w:multiLevelType w:val="multilevel"/>
    <w:tmpl w:val="497C7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52D25"/>
    <w:multiLevelType w:val="multilevel"/>
    <w:tmpl w:val="23E8C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25EC4"/>
    <w:multiLevelType w:val="multilevel"/>
    <w:tmpl w:val="B524C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499500">
    <w:abstractNumId w:val="0"/>
  </w:num>
  <w:num w:numId="2" w16cid:durableId="565068343">
    <w:abstractNumId w:val="3"/>
  </w:num>
  <w:num w:numId="3" w16cid:durableId="217208112">
    <w:abstractNumId w:val="1"/>
  </w:num>
  <w:num w:numId="4" w16cid:durableId="177760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A"/>
    <w:rsid w:val="00003247"/>
    <w:rsid w:val="00007EBF"/>
    <w:rsid w:val="00041CA4"/>
    <w:rsid w:val="000437B7"/>
    <w:rsid w:val="0007378D"/>
    <w:rsid w:val="00081E81"/>
    <w:rsid w:val="0008602E"/>
    <w:rsid w:val="00094EFF"/>
    <w:rsid w:val="000A0051"/>
    <w:rsid w:val="000C0CED"/>
    <w:rsid w:val="000F6103"/>
    <w:rsid w:val="00124726"/>
    <w:rsid w:val="001349D0"/>
    <w:rsid w:val="00142051"/>
    <w:rsid w:val="00177B9D"/>
    <w:rsid w:val="00185B9A"/>
    <w:rsid w:val="00186E00"/>
    <w:rsid w:val="00190FE6"/>
    <w:rsid w:val="00195E46"/>
    <w:rsid w:val="001A4D9C"/>
    <w:rsid w:val="001D201D"/>
    <w:rsid w:val="001D6720"/>
    <w:rsid w:val="001E2185"/>
    <w:rsid w:val="001F09F4"/>
    <w:rsid w:val="00213B25"/>
    <w:rsid w:val="00224998"/>
    <w:rsid w:val="002B1178"/>
    <w:rsid w:val="002B3045"/>
    <w:rsid w:val="002B35F9"/>
    <w:rsid w:val="002F64E2"/>
    <w:rsid w:val="002F6A65"/>
    <w:rsid w:val="0030288A"/>
    <w:rsid w:val="00380CB8"/>
    <w:rsid w:val="00386A9B"/>
    <w:rsid w:val="003947B2"/>
    <w:rsid w:val="00396E24"/>
    <w:rsid w:val="003C057D"/>
    <w:rsid w:val="003C66F7"/>
    <w:rsid w:val="003D7B59"/>
    <w:rsid w:val="003F287E"/>
    <w:rsid w:val="003F2AA5"/>
    <w:rsid w:val="004021A8"/>
    <w:rsid w:val="00410027"/>
    <w:rsid w:val="004147D8"/>
    <w:rsid w:val="00455423"/>
    <w:rsid w:val="004744B5"/>
    <w:rsid w:val="004745BD"/>
    <w:rsid w:val="00483651"/>
    <w:rsid w:val="00490057"/>
    <w:rsid w:val="005157A8"/>
    <w:rsid w:val="00525320"/>
    <w:rsid w:val="00547563"/>
    <w:rsid w:val="005F7078"/>
    <w:rsid w:val="006041DF"/>
    <w:rsid w:val="00626676"/>
    <w:rsid w:val="00646424"/>
    <w:rsid w:val="00656B69"/>
    <w:rsid w:val="00656E3E"/>
    <w:rsid w:val="006A43C4"/>
    <w:rsid w:val="006B3373"/>
    <w:rsid w:val="006B4008"/>
    <w:rsid w:val="006E37B0"/>
    <w:rsid w:val="006F186B"/>
    <w:rsid w:val="007126D0"/>
    <w:rsid w:val="00744E39"/>
    <w:rsid w:val="007520DD"/>
    <w:rsid w:val="0075672E"/>
    <w:rsid w:val="007A2FC6"/>
    <w:rsid w:val="007A5EC0"/>
    <w:rsid w:val="007B66FB"/>
    <w:rsid w:val="007C1891"/>
    <w:rsid w:val="007D12C8"/>
    <w:rsid w:val="007D678D"/>
    <w:rsid w:val="007F4D79"/>
    <w:rsid w:val="00824C7C"/>
    <w:rsid w:val="00834305"/>
    <w:rsid w:val="008544F2"/>
    <w:rsid w:val="00865FC2"/>
    <w:rsid w:val="00866801"/>
    <w:rsid w:val="008B51E5"/>
    <w:rsid w:val="008B5E1D"/>
    <w:rsid w:val="008B7483"/>
    <w:rsid w:val="008D4D44"/>
    <w:rsid w:val="008D5936"/>
    <w:rsid w:val="008D6B17"/>
    <w:rsid w:val="00901AEC"/>
    <w:rsid w:val="00977A93"/>
    <w:rsid w:val="00985D8F"/>
    <w:rsid w:val="00992A74"/>
    <w:rsid w:val="009E48EA"/>
    <w:rsid w:val="00A05F8D"/>
    <w:rsid w:val="00A1006C"/>
    <w:rsid w:val="00A27B58"/>
    <w:rsid w:val="00A35CAC"/>
    <w:rsid w:val="00A431C9"/>
    <w:rsid w:val="00A54833"/>
    <w:rsid w:val="00A725C3"/>
    <w:rsid w:val="00A81FD9"/>
    <w:rsid w:val="00A96C8D"/>
    <w:rsid w:val="00AC617A"/>
    <w:rsid w:val="00AF1B16"/>
    <w:rsid w:val="00B122EC"/>
    <w:rsid w:val="00B3642C"/>
    <w:rsid w:val="00B6353D"/>
    <w:rsid w:val="00B807E3"/>
    <w:rsid w:val="00BB19AC"/>
    <w:rsid w:val="00BC6C2F"/>
    <w:rsid w:val="00BD4D85"/>
    <w:rsid w:val="00BE76F1"/>
    <w:rsid w:val="00BF2BAE"/>
    <w:rsid w:val="00BF4211"/>
    <w:rsid w:val="00CA425C"/>
    <w:rsid w:val="00CC0ACB"/>
    <w:rsid w:val="00CD3860"/>
    <w:rsid w:val="00CF3BC8"/>
    <w:rsid w:val="00D06942"/>
    <w:rsid w:val="00D0702C"/>
    <w:rsid w:val="00D24645"/>
    <w:rsid w:val="00D509A7"/>
    <w:rsid w:val="00DB5EC9"/>
    <w:rsid w:val="00E23D0F"/>
    <w:rsid w:val="00E74B63"/>
    <w:rsid w:val="00E77A5E"/>
    <w:rsid w:val="00E94878"/>
    <w:rsid w:val="00EA417C"/>
    <w:rsid w:val="00ED160B"/>
    <w:rsid w:val="00ED24DD"/>
    <w:rsid w:val="00EE0DF8"/>
    <w:rsid w:val="00F0082B"/>
    <w:rsid w:val="00F04A9A"/>
    <w:rsid w:val="00F21F5F"/>
    <w:rsid w:val="00F330D9"/>
    <w:rsid w:val="00F860C7"/>
    <w:rsid w:val="00FB55FA"/>
    <w:rsid w:val="00FF5C64"/>
    <w:rsid w:val="05891B49"/>
    <w:rsid w:val="08235F8B"/>
    <w:rsid w:val="0E05C3CD"/>
    <w:rsid w:val="17C85D80"/>
    <w:rsid w:val="17D945A3"/>
    <w:rsid w:val="182871F9"/>
    <w:rsid w:val="1AD839E8"/>
    <w:rsid w:val="1C55D484"/>
    <w:rsid w:val="1F1B970A"/>
    <w:rsid w:val="1F312373"/>
    <w:rsid w:val="1FD11185"/>
    <w:rsid w:val="224F9BD8"/>
    <w:rsid w:val="27230CFB"/>
    <w:rsid w:val="2E7652A4"/>
    <w:rsid w:val="33EEE4EA"/>
    <w:rsid w:val="3712C48F"/>
    <w:rsid w:val="3A4D2C4E"/>
    <w:rsid w:val="3B60303F"/>
    <w:rsid w:val="4A6E6D6C"/>
    <w:rsid w:val="4AB98279"/>
    <w:rsid w:val="4B82A5CA"/>
    <w:rsid w:val="5068BBA3"/>
    <w:rsid w:val="525AEF78"/>
    <w:rsid w:val="53748F52"/>
    <w:rsid w:val="55C05AA7"/>
    <w:rsid w:val="5BC5562F"/>
    <w:rsid w:val="651E6421"/>
    <w:rsid w:val="7606FF52"/>
    <w:rsid w:val="7FA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1E1D"/>
  <w15:chartTrackingRefBased/>
  <w15:docId w15:val="{A3435C5C-3475-41A9-BEAF-FA986255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0288A"/>
  </w:style>
  <w:style w:type="character" w:customStyle="1" w:styleId="eop">
    <w:name w:val="eop"/>
    <w:basedOn w:val="DefaultParagraphFont"/>
    <w:rsid w:val="0030288A"/>
  </w:style>
  <w:style w:type="character" w:customStyle="1" w:styleId="contextualspellingandgrammarerror">
    <w:name w:val="contextualspellingandgrammarerror"/>
    <w:basedOn w:val="DefaultParagraphFont"/>
    <w:rsid w:val="0030288A"/>
  </w:style>
  <w:style w:type="paragraph" w:styleId="Header">
    <w:name w:val="header"/>
    <w:basedOn w:val="Normal"/>
    <w:link w:val="HeaderChar"/>
    <w:uiPriority w:val="99"/>
    <w:unhideWhenUsed/>
    <w:rsid w:val="0086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01"/>
  </w:style>
  <w:style w:type="paragraph" w:styleId="Footer">
    <w:name w:val="footer"/>
    <w:basedOn w:val="Normal"/>
    <w:link w:val="FooterChar"/>
    <w:uiPriority w:val="99"/>
    <w:unhideWhenUsed/>
    <w:rsid w:val="0086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01"/>
  </w:style>
  <w:style w:type="character" w:styleId="CommentReference">
    <w:name w:val="annotation reference"/>
    <w:basedOn w:val="DefaultParagraphFont"/>
    <w:uiPriority w:val="99"/>
    <w:semiHidden/>
    <w:unhideWhenUsed/>
    <w:rsid w:val="00185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64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7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b4470-b3fe-4ed6-b145-5944fa126139">
      <Terms xmlns="http://schemas.microsoft.com/office/infopath/2007/PartnerControls"/>
    </lcf76f155ced4ddcb4097134ff3c332f>
    <TaxCatchAll xmlns="105279ba-bf26-4f6a-9151-f1ce92c9458c"/>
    <Comment xmlns="472b4470-b3fe-4ed6-b145-5944fa126139" xsi:nil="true"/>
    <DataTransfer xmlns="472b4470-b3fe-4ed6-b145-5944fa126139">To do</DataTransf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E88E90ECE34ABD4A97369347CF60" ma:contentTypeVersion="15" ma:contentTypeDescription="Create a new document." ma:contentTypeScope="" ma:versionID="dbe35e67ad6be14db2fdd15c34b44517">
  <xsd:schema xmlns:xsd="http://www.w3.org/2001/XMLSchema" xmlns:xs="http://www.w3.org/2001/XMLSchema" xmlns:p="http://schemas.microsoft.com/office/2006/metadata/properties" xmlns:ns2="472b4470-b3fe-4ed6-b145-5944fa126139" xmlns:ns3="105279ba-bf26-4f6a-9151-f1ce92c9458c" targetNamespace="http://schemas.microsoft.com/office/2006/metadata/properties" ma:root="true" ma:fieldsID="dcfab416df90f3913cc9cd648dde19fe" ns2:_="" ns3:_="">
    <xsd:import namespace="472b4470-b3fe-4ed6-b145-5944fa126139"/>
    <xsd:import namespace="105279ba-bf26-4f6a-9151-f1ce92c94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omment" minOccurs="0"/>
                <xsd:element ref="ns2:DataTransf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b4470-b3fe-4ed6-b145-5944fa126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19" nillable="true" ma:displayName="Comment" ma:description="Unzipped" ma:format="Dropdown" ma:internalName="Comment">
      <xsd:simpleType>
        <xsd:restriction base="dms:Text">
          <xsd:maxLength value="255"/>
        </xsd:restriction>
      </xsd:simpleType>
    </xsd:element>
    <xsd:element name="DataTransfer" ma:index="20" nillable="true" ma:displayName="Data Transfer" ma:default="To do" ma:description="Personnel data to be transferred to DataCentral App." ma:format="Dropdown" ma:internalName="DataTransf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79ba-bf26-4f6a-9151-f1ce92c945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143a81-01f2-475e-b433-2f7b413e85fc}" ma:internalName="TaxCatchAll" ma:showField="CatchAllData" ma:web="105279ba-bf26-4f6a-9151-f1ce92c94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DE96F-3E2E-4223-ACD0-6D1103DC9E96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105279ba-bf26-4f6a-9151-f1ce92c9458c"/>
    <ds:schemaRef ds:uri="472b4470-b3fe-4ed6-b145-5944fa12613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5C4397-56A4-4617-B27D-4D4C882DB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b4470-b3fe-4ed6-b145-5944fa126139"/>
    <ds:schemaRef ds:uri="105279ba-bf26-4f6a-9151-f1ce92c94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24F3A-6BA9-4A71-AD33-E661BFA7A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>State of NC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Gerger, Shanon M</dc:creator>
  <cp:keywords/>
  <dc:description/>
  <cp:lastModifiedBy>Dickerson, Cristalle H</cp:lastModifiedBy>
  <cp:revision>2</cp:revision>
  <dcterms:created xsi:type="dcterms:W3CDTF">2024-09-12T23:33:00Z</dcterms:created>
  <dcterms:modified xsi:type="dcterms:W3CDTF">2024-09-12T23:33:00Z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0x0101007D3BE88E90ECE34ABD4A97369347CF60</vt:lpwstr>
  </property>
  <property fmtid="{D5CDD505-2E9C-101B-9397-08002B2CF9AE}" pid="3" name="MediaServiceImageTags">
    <vt:lpwstr/>
  </property>
</Properties>
</file>